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3FBE7730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8F183B">
              <w:rPr>
                <w:rFonts w:ascii="Calibri" w:hAnsi="Calibri" w:cs="Calibri"/>
                <w:sz w:val="20"/>
              </w:rPr>
              <w:t>P</w:t>
            </w:r>
            <w:r w:rsidR="008F183B" w:rsidRPr="006265C4">
              <w:rPr>
                <w:rFonts w:ascii="Calibri" w:hAnsi="Calibri" w:cs="Calibri"/>
                <w:sz w:val="20"/>
              </w:rPr>
              <w:t>ersönlich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1F669600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3B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28CF569E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8F183B"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3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462301FF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8F183B"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83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2C51" w14:textId="77777777" w:rsidR="00B45C3A" w:rsidRPr="00386025" w:rsidRDefault="00B45C3A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1E6F12BD" w14:textId="77777777" w:rsidR="00B45C3A" w:rsidRPr="00386025" w:rsidRDefault="00B45C3A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C0EC" w14:textId="77777777" w:rsidR="00B45C3A" w:rsidRPr="00386025" w:rsidRDefault="00B45C3A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58EB8C01" w14:textId="77777777" w:rsidR="00B45C3A" w:rsidRPr="00386025" w:rsidRDefault="00B45C3A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5A6F7737" w:rsidR="00114827" w:rsidRPr="00386025" w:rsidRDefault="008F183B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61312" behindDoc="0" locked="0" layoutInCell="1" allowOverlap="1" wp14:anchorId="013D5213" wp14:editId="6476EB0C">
                <wp:simplePos x="0" y="0"/>
                <wp:positionH relativeFrom="column">
                  <wp:posOffset>142875</wp:posOffset>
                </wp:positionH>
                <wp:positionV relativeFrom="paragraph">
                  <wp:posOffset>-309880</wp:posOffset>
                </wp:positionV>
                <wp:extent cx="2076450" cy="1066800"/>
                <wp:effectExtent l="0" t="0" r="0" b="0"/>
                <wp:wrapNone/>
                <wp:docPr id="937197564" name="Grafik 9371975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63A4D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17C65"/>
    <w:rsid w:val="00827C87"/>
    <w:rsid w:val="008831EB"/>
    <w:rsid w:val="008F183B"/>
    <w:rsid w:val="00A04E01"/>
    <w:rsid w:val="00A11967"/>
    <w:rsid w:val="00A20880"/>
    <w:rsid w:val="00A352C8"/>
    <w:rsid w:val="00AE3976"/>
    <w:rsid w:val="00B41C2B"/>
    <w:rsid w:val="00B45C3A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Plachecki, Yvonne - TaxEagle</cp:lastModifiedBy>
  <cp:revision>2</cp:revision>
  <dcterms:created xsi:type="dcterms:W3CDTF">2026-03-04T09:42:00Z</dcterms:created>
  <dcterms:modified xsi:type="dcterms:W3CDTF">2026-03-04T09:42:00Z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